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EF7F" w14:textId="77777777" w:rsidR="000109CB" w:rsidRDefault="000109CB" w:rsidP="000109CB">
      <w:pPr>
        <w:pStyle w:val="Heading1"/>
      </w:pPr>
      <w:r>
        <w:t>Quantum Technologies Alliance for Research Challenge 2025 Seed Funding Awards</w:t>
      </w:r>
    </w:p>
    <w:p w14:paraId="25B37090" w14:textId="77777777" w:rsidR="000109CB" w:rsidRDefault="000109CB" w:rsidP="000109CB">
      <w:pPr>
        <w:pStyle w:val="Subtitle"/>
      </w:pPr>
      <w:r>
        <w:t>Title: “Advancing Healthcare through Quantum Technologies: Collaborative Research Visits Promoting Interdisciplinary Work”.</w:t>
      </w:r>
    </w:p>
    <w:p w14:paraId="75537ED3" w14:textId="4D5BE71B" w:rsidR="000109CB" w:rsidRDefault="000109CB" w:rsidP="000109CB">
      <w:pPr>
        <w:spacing w:before="240"/>
        <w:rPr>
          <w:rStyle w:val="Strong"/>
        </w:rPr>
      </w:pPr>
      <w:r>
        <w:t xml:space="preserve">On behalf of </w:t>
      </w:r>
      <w:hyperlink r:id="rId7">
        <w:r w:rsidR="00674523" w:rsidRPr="00674523">
          <w:rPr>
            <w:rFonts w:ascii="Arial" w:eastAsia="Batang" w:hAnsi="Arial" w:cs="Arial"/>
            <w:color w:val="0000FF"/>
            <w:sz w:val="22"/>
            <w:szCs w:val="22"/>
            <w:u w:val="single"/>
            <w:lang w:eastAsia="ko-KR"/>
            <w14:ligatures w14:val="none"/>
          </w:rPr>
          <w:t>SINAPSE</w:t>
        </w:r>
      </w:hyperlink>
      <w:r>
        <w:t xml:space="preserve">, Dr Katerina Pappa successfully secured a funding of </w:t>
      </w:r>
      <w:r w:rsidRPr="00484DA7">
        <w:rPr>
          <w:b/>
          <w:bCs/>
        </w:rPr>
        <w:t>£8,200</w:t>
      </w:r>
      <w:r>
        <w:t xml:space="preserve"> to fund a series of exchange visits between researchers from the Quantum and Healthcare imaging research space.</w:t>
      </w:r>
    </w:p>
    <w:p w14:paraId="21C9A184" w14:textId="0271E3B9" w:rsidR="000109CB" w:rsidRDefault="000109CB" w:rsidP="000109CB">
      <w:pPr>
        <w:pStyle w:val="Heading2"/>
      </w:pPr>
      <w:r>
        <w:t>Applicant Details</w:t>
      </w:r>
    </w:p>
    <w:tbl>
      <w:tblPr>
        <w:tblStyle w:val="GridTable5Dark-Accent1"/>
        <w:tblW w:w="9018" w:type="dxa"/>
        <w:tblLook w:val="04A0" w:firstRow="1" w:lastRow="0" w:firstColumn="1" w:lastColumn="0" w:noHBand="0" w:noVBand="1"/>
      </w:tblPr>
      <w:tblGrid>
        <w:gridCol w:w="3074"/>
        <w:gridCol w:w="5944"/>
      </w:tblGrid>
      <w:tr w:rsidR="00674523" w:rsidRPr="00674523" w14:paraId="578683F2" w14:textId="77777777" w:rsidTr="000109C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18" w:type="dxa"/>
            <w:gridSpan w:val="2"/>
            <w:tcBorders>
              <w:top w:val="single" w:sz="4" w:space="0" w:color="auto"/>
            </w:tcBorders>
            <w:shd w:val="clear" w:color="auto" w:fill="auto"/>
          </w:tcPr>
          <w:p w14:paraId="06507433" w14:textId="77777777" w:rsidR="000109CB" w:rsidRPr="00674523" w:rsidRDefault="000109CB" w:rsidP="00674523">
            <w:pPr>
              <w:pStyle w:val="NoSpacing"/>
              <w:rPr>
                <w:color w:val="000000" w:themeColor="text1"/>
                <w:lang w:val="en-US"/>
              </w:rPr>
            </w:pPr>
            <w:r w:rsidRPr="00674523">
              <w:rPr>
                <w:color w:val="000000" w:themeColor="text1"/>
                <w:lang w:val="en-US"/>
              </w:rPr>
              <w:t>Applicant 1:</w:t>
            </w:r>
          </w:p>
        </w:tc>
      </w:tr>
      <w:tr w:rsidR="00674523" w:rsidRPr="00674523" w14:paraId="3B1AA51D"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5E80B653" w14:textId="77777777" w:rsidR="000109CB" w:rsidRPr="00674523" w:rsidRDefault="000109CB" w:rsidP="00674523">
            <w:pPr>
              <w:pStyle w:val="NoSpacing"/>
              <w:rPr>
                <w:color w:val="000000" w:themeColor="text1"/>
                <w:lang w:val="en-US"/>
              </w:rPr>
            </w:pPr>
            <w:r w:rsidRPr="00674523">
              <w:rPr>
                <w:color w:val="000000" w:themeColor="text1"/>
                <w:lang w:val="en-US"/>
              </w:rPr>
              <w:t>Name</w:t>
            </w:r>
          </w:p>
        </w:tc>
        <w:tc>
          <w:tcPr>
            <w:tcW w:w="5944" w:type="dxa"/>
            <w:shd w:val="clear" w:color="auto" w:fill="auto"/>
          </w:tcPr>
          <w:p w14:paraId="0ADF7F13"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74523">
              <w:rPr>
                <w:color w:val="000000" w:themeColor="text1"/>
                <w:lang w:val="en-US"/>
              </w:rPr>
              <w:t>Dr Katerina Pappa</w:t>
            </w:r>
          </w:p>
        </w:tc>
      </w:tr>
      <w:tr w:rsidR="00674523" w:rsidRPr="00674523" w14:paraId="2BD284B8" w14:textId="77777777" w:rsidTr="000109CB">
        <w:trPr>
          <w:trHeight w:val="340"/>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083D1FA2" w14:textId="77777777" w:rsidR="000109CB" w:rsidRPr="00674523" w:rsidRDefault="000109CB" w:rsidP="00674523">
            <w:pPr>
              <w:pStyle w:val="NoSpacing"/>
              <w:rPr>
                <w:color w:val="000000" w:themeColor="text1"/>
                <w:lang w:val="en-US"/>
              </w:rPr>
            </w:pPr>
            <w:r w:rsidRPr="00674523">
              <w:rPr>
                <w:color w:val="000000" w:themeColor="text1"/>
                <w:lang w:val="en-US"/>
              </w:rPr>
              <w:t>Institution/</w:t>
            </w:r>
            <w:proofErr w:type="spellStart"/>
            <w:r w:rsidRPr="00674523">
              <w:rPr>
                <w:color w:val="000000" w:themeColor="text1"/>
                <w:lang w:val="en-US"/>
              </w:rPr>
              <w:t>Organisation</w:t>
            </w:r>
            <w:proofErr w:type="spellEnd"/>
          </w:p>
        </w:tc>
        <w:tc>
          <w:tcPr>
            <w:tcW w:w="5944" w:type="dxa"/>
            <w:shd w:val="clear" w:color="auto" w:fill="auto"/>
          </w:tcPr>
          <w:p w14:paraId="2BF33204" w14:textId="77777777" w:rsidR="000109CB" w:rsidRPr="00674523" w:rsidRDefault="000109CB" w:rsidP="00674523">
            <w:pPr>
              <w:pStyle w:val="NoSpacing"/>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674523">
              <w:rPr>
                <w:color w:val="000000" w:themeColor="text1"/>
                <w:lang w:val="en-US"/>
              </w:rPr>
              <w:t>SINAPSE, based at University of Glasgow</w:t>
            </w:r>
          </w:p>
        </w:tc>
      </w:tr>
      <w:tr w:rsidR="00674523" w:rsidRPr="00674523" w14:paraId="4BCEEE20"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74" w:type="dxa"/>
            <w:tcBorders>
              <w:bottom w:val="single" w:sz="4" w:space="0" w:color="FFFFFF" w:themeColor="background1"/>
            </w:tcBorders>
            <w:shd w:val="clear" w:color="auto" w:fill="auto"/>
          </w:tcPr>
          <w:p w14:paraId="463A4256" w14:textId="77777777" w:rsidR="000109CB" w:rsidRPr="00674523" w:rsidRDefault="000109CB" w:rsidP="00674523">
            <w:pPr>
              <w:pStyle w:val="NoSpacing"/>
              <w:rPr>
                <w:color w:val="000000" w:themeColor="text1"/>
                <w:lang w:val="en-US"/>
              </w:rPr>
            </w:pPr>
            <w:r w:rsidRPr="00674523">
              <w:rPr>
                <w:color w:val="000000" w:themeColor="text1"/>
                <w:lang w:val="en-US"/>
              </w:rPr>
              <w:t>Role/job title</w:t>
            </w:r>
          </w:p>
        </w:tc>
        <w:tc>
          <w:tcPr>
            <w:tcW w:w="5944" w:type="dxa"/>
            <w:tcBorders>
              <w:bottom w:val="single" w:sz="4" w:space="0" w:color="FFFFFF" w:themeColor="background1"/>
            </w:tcBorders>
            <w:shd w:val="clear" w:color="auto" w:fill="auto"/>
          </w:tcPr>
          <w:p w14:paraId="440FBFA0"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74523">
              <w:rPr>
                <w:color w:val="000000" w:themeColor="text1"/>
                <w:lang w:val="en-US"/>
              </w:rPr>
              <w:t>SINAPSE Operations Manager</w:t>
            </w:r>
          </w:p>
          <w:p w14:paraId="2B37238F"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74523">
              <w:rPr>
                <w:color w:val="000000" w:themeColor="text1"/>
                <w:lang w:val="en-US"/>
              </w:rPr>
              <w:t>Honorary (School of Psychology &amp; Neuroscience)</w:t>
            </w:r>
          </w:p>
          <w:p w14:paraId="7D5BF4E5"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74523">
              <w:rPr>
                <w:color w:val="000000" w:themeColor="text1"/>
                <w:lang w:val="en-US"/>
              </w:rPr>
              <w:t>Affiliate (School of Health &amp; Wellbeing)</w:t>
            </w:r>
          </w:p>
        </w:tc>
      </w:tr>
      <w:tr w:rsidR="00674523" w:rsidRPr="00674523" w14:paraId="1BD05EB0" w14:textId="77777777" w:rsidTr="000109CB">
        <w:trPr>
          <w:trHeight w:val="340"/>
        </w:trPr>
        <w:tc>
          <w:tcPr>
            <w:cnfStyle w:val="001000000000" w:firstRow="0" w:lastRow="0" w:firstColumn="1" w:lastColumn="0" w:oddVBand="0" w:evenVBand="0" w:oddHBand="0" w:evenHBand="0" w:firstRowFirstColumn="0" w:firstRowLastColumn="0" w:lastRowFirstColumn="0" w:lastRowLastColumn="0"/>
            <w:tcW w:w="3074" w:type="dxa"/>
            <w:tcBorders>
              <w:bottom w:val="single" w:sz="4" w:space="0" w:color="auto"/>
            </w:tcBorders>
            <w:shd w:val="clear" w:color="auto" w:fill="auto"/>
          </w:tcPr>
          <w:p w14:paraId="5C92220E" w14:textId="77777777" w:rsidR="000109CB" w:rsidRPr="00674523" w:rsidRDefault="000109CB" w:rsidP="00674523">
            <w:pPr>
              <w:pStyle w:val="NoSpacing"/>
              <w:rPr>
                <w:color w:val="000000" w:themeColor="text1"/>
                <w:lang w:val="en-US"/>
              </w:rPr>
            </w:pPr>
            <w:r w:rsidRPr="00674523">
              <w:rPr>
                <w:color w:val="000000" w:themeColor="text1"/>
                <w:lang w:val="en-US"/>
              </w:rPr>
              <w:t>Email</w:t>
            </w:r>
          </w:p>
        </w:tc>
        <w:tc>
          <w:tcPr>
            <w:tcW w:w="5944" w:type="dxa"/>
            <w:tcBorders>
              <w:bottom w:val="single" w:sz="4" w:space="0" w:color="auto"/>
            </w:tcBorders>
            <w:shd w:val="clear" w:color="auto" w:fill="auto"/>
          </w:tcPr>
          <w:p w14:paraId="6D316A85" w14:textId="77777777" w:rsidR="000109CB" w:rsidRPr="00674523" w:rsidRDefault="000109CB" w:rsidP="00674523">
            <w:pPr>
              <w:pStyle w:val="NoSpacing"/>
              <w:cnfStyle w:val="000000000000" w:firstRow="0" w:lastRow="0" w:firstColumn="0" w:lastColumn="0" w:oddVBand="0" w:evenVBand="0" w:oddHBand="0" w:evenHBand="0" w:firstRowFirstColumn="0" w:firstRowLastColumn="0" w:lastRowFirstColumn="0" w:lastRowLastColumn="0"/>
              <w:rPr>
                <w:color w:val="000000" w:themeColor="text1"/>
                <w:lang w:val="en-US"/>
              </w:rPr>
            </w:pPr>
            <w:hyperlink r:id="rId8" w:history="1">
              <w:r w:rsidRPr="00674523">
                <w:rPr>
                  <w:rStyle w:val="Hyperlink"/>
                  <w:rFonts w:asciiTheme="minorBidi" w:hAnsiTheme="minorBidi"/>
                  <w:color w:val="000000" w:themeColor="text1"/>
                  <w:sz w:val="22"/>
                  <w:szCs w:val="22"/>
                  <w:lang w:val="en-US"/>
                </w:rPr>
                <w:t>Katerina.pappa@glasgow.ac.uk</w:t>
              </w:r>
            </w:hyperlink>
            <w:r w:rsidRPr="00674523">
              <w:rPr>
                <w:color w:val="000000" w:themeColor="text1"/>
                <w:lang w:val="en-US"/>
              </w:rPr>
              <w:t xml:space="preserve"> </w:t>
            </w:r>
          </w:p>
        </w:tc>
      </w:tr>
      <w:tr w:rsidR="00674523" w:rsidRPr="00674523" w14:paraId="16568432"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18" w:type="dxa"/>
            <w:gridSpan w:val="2"/>
            <w:tcBorders>
              <w:top w:val="single" w:sz="4" w:space="0" w:color="auto"/>
            </w:tcBorders>
            <w:shd w:val="clear" w:color="auto" w:fill="auto"/>
          </w:tcPr>
          <w:p w14:paraId="23CD4ED8" w14:textId="77777777" w:rsidR="000109CB" w:rsidRPr="00674523" w:rsidRDefault="000109CB" w:rsidP="00674523">
            <w:pPr>
              <w:pStyle w:val="NoSpacing"/>
              <w:rPr>
                <w:color w:val="000000" w:themeColor="text1"/>
                <w:lang w:val="en-US"/>
              </w:rPr>
            </w:pPr>
            <w:r w:rsidRPr="00674523">
              <w:rPr>
                <w:color w:val="000000" w:themeColor="text1"/>
                <w:lang w:val="en-US"/>
              </w:rPr>
              <w:t>Applicant 2:</w:t>
            </w:r>
          </w:p>
        </w:tc>
      </w:tr>
      <w:tr w:rsidR="00674523" w:rsidRPr="00674523" w14:paraId="26EA6FC6" w14:textId="77777777" w:rsidTr="000109CB">
        <w:trPr>
          <w:trHeight w:val="340"/>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101A2FD5" w14:textId="77777777" w:rsidR="000109CB" w:rsidRPr="00674523" w:rsidRDefault="000109CB" w:rsidP="00674523">
            <w:pPr>
              <w:pStyle w:val="NoSpacing"/>
              <w:rPr>
                <w:color w:val="000000" w:themeColor="text1"/>
                <w:lang w:val="en-US"/>
              </w:rPr>
            </w:pPr>
            <w:r w:rsidRPr="00674523">
              <w:rPr>
                <w:color w:val="000000" w:themeColor="text1"/>
                <w:lang w:val="en-US"/>
              </w:rPr>
              <w:t>Name</w:t>
            </w:r>
          </w:p>
        </w:tc>
        <w:tc>
          <w:tcPr>
            <w:tcW w:w="5944" w:type="dxa"/>
            <w:shd w:val="clear" w:color="auto" w:fill="auto"/>
          </w:tcPr>
          <w:p w14:paraId="57A9C4A9" w14:textId="77777777" w:rsidR="000109CB" w:rsidRPr="00674523" w:rsidRDefault="000109CB" w:rsidP="00674523">
            <w:pPr>
              <w:pStyle w:val="NoSpacing"/>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674523">
              <w:rPr>
                <w:color w:val="000000" w:themeColor="text1"/>
                <w:lang w:val="en-US"/>
              </w:rPr>
              <w:t>Dr Jennifer Macfarlane</w:t>
            </w:r>
          </w:p>
        </w:tc>
      </w:tr>
      <w:tr w:rsidR="00674523" w:rsidRPr="00674523" w14:paraId="2900C91C"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0ACEB362" w14:textId="77777777" w:rsidR="000109CB" w:rsidRPr="00674523" w:rsidRDefault="000109CB" w:rsidP="00674523">
            <w:pPr>
              <w:pStyle w:val="NoSpacing"/>
              <w:rPr>
                <w:color w:val="000000" w:themeColor="text1"/>
                <w:lang w:val="en-US"/>
              </w:rPr>
            </w:pPr>
            <w:r w:rsidRPr="00674523">
              <w:rPr>
                <w:color w:val="000000" w:themeColor="text1"/>
                <w:lang w:val="en-US"/>
              </w:rPr>
              <w:t>Institution/</w:t>
            </w:r>
            <w:proofErr w:type="spellStart"/>
            <w:r w:rsidRPr="00674523">
              <w:rPr>
                <w:color w:val="000000" w:themeColor="text1"/>
                <w:lang w:val="en-US"/>
              </w:rPr>
              <w:t>Organisation</w:t>
            </w:r>
            <w:proofErr w:type="spellEnd"/>
          </w:p>
        </w:tc>
        <w:tc>
          <w:tcPr>
            <w:tcW w:w="5944" w:type="dxa"/>
            <w:shd w:val="clear" w:color="auto" w:fill="auto"/>
          </w:tcPr>
          <w:p w14:paraId="36C46FC6"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74523">
              <w:rPr>
                <w:color w:val="000000" w:themeColor="text1"/>
                <w:lang w:val="en-US"/>
              </w:rPr>
              <w:t xml:space="preserve">SINAPSE &amp; NHS </w:t>
            </w:r>
            <w:proofErr w:type="spellStart"/>
            <w:r w:rsidRPr="00674523">
              <w:rPr>
                <w:color w:val="000000" w:themeColor="text1"/>
                <w:lang w:val="en-US"/>
              </w:rPr>
              <w:t>Tayside</w:t>
            </w:r>
            <w:proofErr w:type="spellEnd"/>
          </w:p>
        </w:tc>
      </w:tr>
      <w:tr w:rsidR="00674523" w:rsidRPr="00674523" w14:paraId="019CE513" w14:textId="77777777" w:rsidTr="000109CB">
        <w:trPr>
          <w:trHeight w:val="340"/>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1E300A45" w14:textId="77777777" w:rsidR="000109CB" w:rsidRPr="00674523" w:rsidRDefault="000109CB" w:rsidP="00674523">
            <w:pPr>
              <w:pStyle w:val="NoSpacing"/>
              <w:rPr>
                <w:color w:val="000000" w:themeColor="text1"/>
                <w:lang w:val="en-US"/>
              </w:rPr>
            </w:pPr>
            <w:r w:rsidRPr="00674523">
              <w:rPr>
                <w:color w:val="000000" w:themeColor="text1"/>
                <w:lang w:val="en-US"/>
              </w:rPr>
              <w:t>Role/job title</w:t>
            </w:r>
          </w:p>
        </w:tc>
        <w:tc>
          <w:tcPr>
            <w:tcW w:w="5944" w:type="dxa"/>
            <w:shd w:val="clear" w:color="auto" w:fill="auto"/>
          </w:tcPr>
          <w:p w14:paraId="3406BD67" w14:textId="77777777" w:rsidR="000109CB" w:rsidRPr="00674523" w:rsidRDefault="000109CB" w:rsidP="00674523">
            <w:pPr>
              <w:pStyle w:val="NoSpacing"/>
              <w:cnfStyle w:val="000000000000" w:firstRow="0" w:lastRow="0" w:firstColumn="0" w:lastColumn="0" w:oddVBand="0" w:evenVBand="0" w:oddHBand="0" w:evenHBand="0" w:firstRowFirstColumn="0" w:firstRowLastColumn="0" w:lastRowFirstColumn="0" w:lastRowLastColumn="0"/>
              <w:rPr>
                <w:color w:val="000000" w:themeColor="text1"/>
              </w:rPr>
            </w:pPr>
            <w:r w:rsidRPr="00674523">
              <w:rPr>
                <w:color w:val="000000" w:themeColor="text1"/>
              </w:rPr>
              <w:t>SINAPSE Director &amp; NHS Tayside Medical Physicist</w:t>
            </w:r>
          </w:p>
        </w:tc>
      </w:tr>
      <w:tr w:rsidR="00674523" w:rsidRPr="00674523" w14:paraId="7B706ED0"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74" w:type="dxa"/>
            <w:tcBorders>
              <w:bottom w:val="single" w:sz="4" w:space="0" w:color="auto"/>
            </w:tcBorders>
            <w:shd w:val="clear" w:color="auto" w:fill="auto"/>
          </w:tcPr>
          <w:p w14:paraId="7B0CB668" w14:textId="77777777" w:rsidR="000109CB" w:rsidRPr="00674523" w:rsidRDefault="000109CB" w:rsidP="00674523">
            <w:pPr>
              <w:pStyle w:val="NoSpacing"/>
              <w:rPr>
                <w:color w:val="000000" w:themeColor="text1"/>
                <w:lang w:val="en-US"/>
              </w:rPr>
            </w:pPr>
            <w:r w:rsidRPr="00674523">
              <w:rPr>
                <w:color w:val="000000" w:themeColor="text1"/>
                <w:lang w:val="en-US"/>
              </w:rPr>
              <w:t>Email</w:t>
            </w:r>
          </w:p>
        </w:tc>
        <w:tc>
          <w:tcPr>
            <w:tcW w:w="5944" w:type="dxa"/>
            <w:tcBorders>
              <w:bottom w:val="single" w:sz="4" w:space="0" w:color="auto"/>
            </w:tcBorders>
            <w:shd w:val="clear" w:color="auto" w:fill="auto"/>
          </w:tcPr>
          <w:p w14:paraId="31BEAFF1"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hyperlink r:id="rId9" w:history="1">
              <w:r w:rsidRPr="00674523">
                <w:rPr>
                  <w:rStyle w:val="Hyperlink"/>
                  <w:rFonts w:asciiTheme="minorBidi" w:hAnsiTheme="minorBidi"/>
                  <w:color w:val="000000" w:themeColor="text1"/>
                  <w:sz w:val="22"/>
                  <w:szCs w:val="22"/>
                  <w:lang w:val="en-US"/>
                </w:rPr>
                <w:t>jennifer.macfarlane@nhs.scot</w:t>
              </w:r>
            </w:hyperlink>
            <w:r w:rsidRPr="00674523">
              <w:rPr>
                <w:color w:val="000000" w:themeColor="text1"/>
                <w:lang w:val="en-US"/>
              </w:rPr>
              <w:t xml:space="preserve"> </w:t>
            </w:r>
          </w:p>
        </w:tc>
      </w:tr>
      <w:tr w:rsidR="00674523" w:rsidRPr="00674523" w14:paraId="06C0D1C7" w14:textId="77777777" w:rsidTr="000109CB">
        <w:trPr>
          <w:trHeight w:val="340"/>
        </w:trPr>
        <w:tc>
          <w:tcPr>
            <w:cnfStyle w:val="001000000000" w:firstRow="0" w:lastRow="0" w:firstColumn="1" w:lastColumn="0" w:oddVBand="0" w:evenVBand="0" w:oddHBand="0" w:evenHBand="0" w:firstRowFirstColumn="0" w:firstRowLastColumn="0" w:lastRowFirstColumn="0" w:lastRowLastColumn="0"/>
            <w:tcW w:w="9018" w:type="dxa"/>
            <w:gridSpan w:val="2"/>
            <w:tcBorders>
              <w:top w:val="single" w:sz="4" w:space="0" w:color="auto"/>
            </w:tcBorders>
            <w:shd w:val="clear" w:color="auto" w:fill="auto"/>
          </w:tcPr>
          <w:p w14:paraId="23581F98" w14:textId="77777777" w:rsidR="000109CB" w:rsidRPr="00674523" w:rsidRDefault="000109CB" w:rsidP="00674523">
            <w:pPr>
              <w:pStyle w:val="NoSpacing"/>
              <w:rPr>
                <w:color w:val="000000" w:themeColor="text1"/>
                <w:lang w:val="en-US"/>
              </w:rPr>
            </w:pPr>
            <w:r w:rsidRPr="00674523">
              <w:rPr>
                <w:color w:val="000000" w:themeColor="text1"/>
                <w:lang w:val="en-US"/>
              </w:rPr>
              <w:t>Applicant 3</w:t>
            </w:r>
          </w:p>
        </w:tc>
      </w:tr>
      <w:tr w:rsidR="00674523" w:rsidRPr="00674523" w14:paraId="31BDF66B"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2E3C84AE" w14:textId="77777777" w:rsidR="000109CB" w:rsidRPr="00674523" w:rsidRDefault="000109CB" w:rsidP="00674523">
            <w:pPr>
              <w:pStyle w:val="NoSpacing"/>
              <w:rPr>
                <w:color w:val="000000" w:themeColor="text1"/>
                <w:lang w:val="en-US"/>
              </w:rPr>
            </w:pPr>
            <w:r w:rsidRPr="00674523">
              <w:rPr>
                <w:color w:val="000000" w:themeColor="text1"/>
                <w:lang w:val="en-US"/>
              </w:rPr>
              <w:t>Name</w:t>
            </w:r>
          </w:p>
        </w:tc>
        <w:tc>
          <w:tcPr>
            <w:tcW w:w="5944" w:type="dxa"/>
            <w:shd w:val="clear" w:color="auto" w:fill="auto"/>
          </w:tcPr>
          <w:p w14:paraId="62BAC254"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74523">
              <w:rPr>
                <w:color w:val="000000" w:themeColor="text1"/>
                <w:lang w:val="en-US"/>
              </w:rPr>
              <w:t>Dr Yilong Zhang</w:t>
            </w:r>
          </w:p>
        </w:tc>
      </w:tr>
      <w:tr w:rsidR="00674523" w:rsidRPr="00674523" w14:paraId="2DF95806" w14:textId="77777777" w:rsidTr="000109CB">
        <w:trPr>
          <w:trHeight w:val="340"/>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5FA341E8" w14:textId="77777777" w:rsidR="000109CB" w:rsidRPr="00674523" w:rsidRDefault="000109CB" w:rsidP="00674523">
            <w:pPr>
              <w:pStyle w:val="NoSpacing"/>
              <w:rPr>
                <w:color w:val="000000" w:themeColor="text1"/>
                <w:lang w:val="en-US"/>
              </w:rPr>
            </w:pPr>
            <w:r w:rsidRPr="00674523">
              <w:rPr>
                <w:color w:val="000000" w:themeColor="text1"/>
                <w:lang w:val="en-US"/>
              </w:rPr>
              <w:t>Institution/</w:t>
            </w:r>
            <w:proofErr w:type="spellStart"/>
            <w:r w:rsidRPr="00674523">
              <w:rPr>
                <w:color w:val="000000" w:themeColor="text1"/>
                <w:lang w:val="en-US"/>
              </w:rPr>
              <w:t>Organisation</w:t>
            </w:r>
            <w:proofErr w:type="spellEnd"/>
          </w:p>
        </w:tc>
        <w:tc>
          <w:tcPr>
            <w:tcW w:w="5944" w:type="dxa"/>
            <w:shd w:val="clear" w:color="auto" w:fill="auto"/>
          </w:tcPr>
          <w:p w14:paraId="152455B9" w14:textId="77777777" w:rsidR="000109CB" w:rsidRPr="00674523" w:rsidRDefault="000109CB" w:rsidP="00674523">
            <w:pPr>
              <w:pStyle w:val="NoSpacing"/>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674523">
              <w:rPr>
                <w:color w:val="000000" w:themeColor="text1"/>
                <w:lang w:val="en-US"/>
              </w:rPr>
              <w:t>University of Dundee</w:t>
            </w:r>
          </w:p>
        </w:tc>
      </w:tr>
      <w:tr w:rsidR="00674523" w:rsidRPr="00674523" w14:paraId="7F323C7D"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74" w:type="dxa"/>
            <w:tcBorders>
              <w:bottom w:val="single" w:sz="4" w:space="0" w:color="FFFFFF" w:themeColor="background1"/>
            </w:tcBorders>
            <w:shd w:val="clear" w:color="auto" w:fill="auto"/>
          </w:tcPr>
          <w:p w14:paraId="51B2B266" w14:textId="77777777" w:rsidR="000109CB" w:rsidRPr="00674523" w:rsidRDefault="000109CB" w:rsidP="00674523">
            <w:pPr>
              <w:pStyle w:val="NoSpacing"/>
              <w:rPr>
                <w:color w:val="000000" w:themeColor="text1"/>
                <w:lang w:val="en-US"/>
              </w:rPr>
            </w:pPr>
            <w:r w:rsidRPr="00674523">
              <w:rPr>
                <w:color w:val="000000" w:themeColor="text1"/>
                <w:lang w:val="en-US"/>
              </w:rPr>
              <w:t>Role/job title</w:t>
            </w:r>
          </w:p>
        </w:tc>
        <w:tc>
          <w:tcPr>
            <w:tcW w:w="5944" w:type="dxa"/>
            <w:tcBorders>
              <w:bottom w:val="single" w:sz="4" w:space="0" w:color="FFFFFF" w:themeColor="background1"/>
            </w:tcBorders>
            <w:shd w:val="clear" w:color="auto" w:fill="auto"/>
          </w:tcPr>
          <w:p w14:paraId="4F72D330"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74523">
              <w:rPr>
                <w:color w:val="000000" w:themeColor="text1"/>
                <w:lang w:val="en-US"/>
              </w:rPr>
              <w:t>Postdoctoral Research Assistant</w:t>
            </w:r>
          </w:p>
          <w:p w14:paraId="031CB401"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74523">
              <w:rPr>
                <w:color w:val="000000" w:themeColor="text1"/>
                <w:lang w:val="en-US"/>
              </w:rPr>
              <w:t>Biomedical Engineering, School of Science and Engineering</w:t>
            </w:r>
          </w:p>
        </w:tc>
      </w:tr>
      <w:tr w:rsidR="00674523" w:rsidRPr="00674523" w14:paraId="66C51D51" w14:textId="77777777" w:rsidTr="000109CB">
        <w:trPr>
          <w:trHeight w:val="340"/>
        </w:trPr>
        <w:tc>
          <w:tcPr>
            <w:cnfStyle w:val="001000000000" w:firstRow="0" w:lastRow="0" w:firstColumn="1" w:lastColumn="0" w:oddVBand="0" w:evenVBand="0" w:oddHBand="0" w:evenHBand="0" w:firstRowFirstColumn="0" w:firstRowLastColumn="0" w:lastRowFirstColumn="0" w:lastRowLastColumn="0"/>
            <w:tcW w:w="3074" w:type="dxa"/>
            <w:tcBorders>
              <w:bottom w:val="single" w:sz="4" w:space="0" w:color="auto"/>
            </w:tcBorders>
            <w:shd w:val="clear" w:color="auto" w:fill="auto"/>
          </w:tcPr>
          <w:p w14:paraId="4547751C" w14:textId="77777777" w:rsidR="000109CB" w:rsidRPr="00674523" w:rsidRDefault="000109CB" w:rsidP="00674523">
            <w:pPr>
              <w:pStyle w:val="NoSpacing"/>
              <w:rPr>
                <w:color w:val="000000" w:themeColor="text1"/>
                <w:lang w:val="en-US"/>
              </w:rPr>
            </w:pPr>
            <w:r w:rsidRPr="00674523">
              <w:rPr>
                <w:color w:val="000000" w:themeColor="text1"/>
                <w:lang w:val="en-US"/>
              </w:rPr>
              <w:t>Email</w:t>
            </w:r>
          </w:p>
        </w:tc>
        <w:tc>
          <w:tcPr>
            <w:tcW w:w="5944" w:type="dxa"/>
            <w:tcBorders>
              <w:bottom w:val="single" w:sz="4" w:space="0" w:color="auto"/>
            </w:tcBorders>
            <w:shd w:val="clear" w:color="auto" w:fill="auto"/>
          </w:tcPr>
          <w:p w14:paraId="61647ABA" w14:textId="77777777" w:rsidR="000109CB" w:rsidRPr="00674523" w:rsidRDefault="000109CB" w:rsidP="00674523">
            <w:pPr>
              <w:pStyle w:val="NoSpacing"/>
              <w:cnfStyle w:val="000000000000" w:firstRow="0" w:lastRow="0" w:firstColumn="0" w:lastColumn="0" w:oddVBand="0" w:evenVBand="0" w:oddHBand="0" w:evenHBand="0" w:firstRowFirstColumn="0" w:firstRowLastColumn="0" w:lastRowFirstColumn="0" w:lastRowLastColumn="0"/>
              <w:rPr>
                <w:color w:val="000000" w:themeColor="text1"/>
                <w:lang w:val="en-US"/>
              </w:rPr>
            </w:pPr>
            <w:hyperlink r:id="rId10" w:history="1">
              <w:r w:rsidRPr="00674523">
                <w:rPr>
                  <w:rStyle w:val="Hyperlink"/>
                  <w:rFonts w:asciiTheme="minorBidi" w:hAnsiTheme="minorBidi"/>
                  <w:color w:val="000000" w:themeColor="text1"/>
                  <w:sz w:val="22"/>
                  <w:szCs w:val="22"/>
                  <w:lang w:val="en-US"/>
                </w:rPr>
                <w:t>y.z.z.z.h.zhang@dundee.ac.uk</w:t>
              </w:r>
            </w:hyperlink>
            <w:r w:rsidRPr="00674523">
              <w:rPr>
                <w:color w:val="000000" w:themeColor="text1"/>
                <w:lang w:val="en-US"/>
              </w:rPr>
              <w:t xml:space="preserve"> </w:t>
            </w:r>
          </w:p>
        </w:tc>
      </w:tr>
      <w:tr w:rsidR="00674523" w:rsidRPr="00674523" w14:paraId="040AE330"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018" w:type="dxa"/>
            <w:gridSpan w:val="2"/>
            <w:tcBorders>
              <w:top w:val="single" w:sz="4" w:space="0" w:color="auto"/>
            </w:tcBorders>
            <w:shd w:val="clear" w:color="auto" w:fill="auto"/>
          </w:tcPr>
          <w:p w14:paraId="33028DE9" w14:textId="77777777" w:rsidR="000109CB" w:rsidRPr="00674523" w:rsidRDefault="000109CB" w:rsidP="00674523">
            <w:pPr>
              <w:pStyle w:val="NoSpacing"/>
              <w:rPr>
                <w:color w:val="000000" w:themeColor="text1"/>
                <w:lang w:val="en-US"/>
              </w:rPr>
            </w:pPr>
            <w:r w:rsidRPr="00674523">
              <w:rPr>
                <w:color w:val="000000" w:themeColor="text1"/>
                <w:lang w:val="en-US"/>
              </w:rPr>
              <w:t>Applicant 4</w:t>
            </w:r>
          </w:p>
        </w:tc>
      </w:tr>
      <w:tr w:rsidR="00674523" w:rsidRPr="00674523" w14:paraId="37FF17DA" w14:textId="77777777" w:rsidTr="000109CB">
        <w:trPr>
          <w:trHeight w:val="340"/>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30BA5D1D" w14:textId="77777777" w:rsidR="000109CB" w:rsidRPr="00674523" w:rsidRDefault="000109CB" w:rsidP="00674523">
            <w:pPr>
              <w:pStyle w:val="NoSpacing"/>
              <w:rPr>
                <w:color w:val="000000" w:themeColor="text1"/>
                <w:lang w:val="en-US"/>
              </w:rPr>
            </w:pPr>
            <w:r w:rsidRPr="00674523">
              <w:rPr>
                <w:color w:val="000000" w:themeColor="text1"/>
                <w:lang w:val="en-US"/>
              </w:rPr>
              <w:t>Name</w:t>
            </w:r>
          </w:p>
        </w:tc>
        <w:tc>
          <w:tcPr>
            <w:tcW w:w="5944" w:type="dxa"/>
            <w:shd w:val="clear" w:color="auto" w:fill="auto"/>
          </w:tcPr>
          <w:p w14:paraId="7892EF9B" w14:textId="77777777" w:rsidR="000109CB" w:rsidRPr="00674523" w:rsidRDefault="000109CB" w:rsidP="00674523">
            <w:pPr>
              <w:pStyle w:val="NoSpacing"/>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674523">
              <w:rPr>
                <w:color w:val="000000" w:themeColor="text1"/>
                <w:lang w:val="en-US"/>
              </w:rPr>
              <w:t>Dr Jack Radford</w:t>
            </w:r>
          </w:p>
        </w:tc>
      </w:tr>
      <w:tr w:rsidR="00674523" w:rsidRPr="00674523" w14:paraId="2D197D08"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5042DA7D" w14:textId="77777777" w:rsidR="000109CB" w:rsidRPr="00674523" w:rsidRDefault="000109CB" w:rsidP="00674523">
            <w:pPr>
              <w:pStyle w:val="NoSpacing"/>
              <w:rPr>
                <w:color w:val="000000" w:themeColor="text1"/>
                <w:lang w:val="en-US"/>
              </w:rPr>
            </w:pPr>
            <w:r w:rsidRPr="00674523">
              <w:rPr>
                <w:color w:val="000000" w:themeColor="text1"/>
                <w:lang w:val="en-US"/>
              </w:rPr>
              <w:t>Institution/</w:t>
            </w:r>
            <w:proofErr w:type="spellStart"/>
            <w:r w:rsidRPr="00674523">
              <w:rPr>
                <w:color w:val="000000" w:themeColor="text1"/>
                <w:lang w:val="en-US"/>
              </w:rPr>
              <w:t>Organisation</w:t>
            </w:r>
            <w:proofErr w:type="spellEnd"/>
          </w:p>
        </w:tc>
        <w:tc>
          <w:tcPr>
            <w:tcW w:w="5944" w:type="dxa"/>
            <w:shd w:val="clear" w:color="auto" w:fill="auto"/>
          </w:tcPr>
          <w:p w14:paraId="2FC4D483"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r w:rsidRPr="00674523">
              <w:rPr>
                <w:color w:val="000000" w:themeColor="text1"/>
                <w:lang w:val="en-US"/>
              </w:rPr>
              <w:t>University of Glasgow</w:t>
            </w:r>
          </w:p>
        </w:tc>
      </w:tr>
      <w:tr w:rsidR="00674523" w:rsidRPr="00674523" w14:paraId="695AA242" w14:textId="77777777" w:rsidTr="000109CB">
        <w:trPr>
          <w:trHeight w:val="340"/>
        </w:trPr>
        <w:tc>
          <w:tcPr>
            <w:cnfStyle w:val="001000000000" w:firstRow="0" w:lastRow="0" w:firstColumn="1" w:lastColumn="0" w:oddVBand="0" w:evenVBand="0" w:oddHBand="0" w:evenHBand="0" w:firstRowFirstColumn="0" w:firstRowLastColumn="0" w:lastRowFirstColumn="0" w:lastRowLastColumn="0"/>
            <w:tcW w:w="3074" w:type="dxa"/>
            <w:tcBorders>
              <w:bottom w:val="single" w:sz="4" w:space="0" w:color="FFFFFF" w:themeColor="background1"/>
            </w:tcBorders>
            <w:shd w:val="clear" w:color="auto" w:fill="auto"/>
          </w:tcPr>
          <w:p w14:paraId="45DE74C5" w14:textId="77777777" w:rsidR="000109CB" w:rsidRPr="00674523" w:rsidRDefault="000109CB" w:rsidP="00674523">
            <w:pPr>
              <w:pStyle w:val="NoSpacing"/>
              <w:rPr>
                <w:color w:val="000000" w:themeColor="text1"/>
                <w:lang w:val="en-US"/>
              </w:rPr>
            </w:pPr>
            <w:r w:rsidRPr="00674523">
              <w:rPr>
                <w:color w:val="000000" w:themeColor="text1"/>
                <w:lang w:val="en-US"/>
              </w:rPr>
              <w:t>Role/job title</w:t>
            </w:r>
          </w:p>
        </w:tc>
        <w:tc>
          <w:tcPr>
            <w:tcW w:w="5944" w:type="dxa"/>
            <w:tcBorders>
              <w:bottom w:val="single" w:sz="4" w:space="0" w:color="FFFFFF" w:themeColor="background1"/>
            </w:tcBorders>
            <w:shd w:val="clear" w:color="auto" w:fill="auto"/>
          </w:tcPr>
          <w:p w14:paraId="023293BE" w14:textId="77777777" w:rsidR="000109CB" w:rsidRPr="00674523" w:rsidRDefault="000109CB" w:rsidP="00674523">
            <w:pPr>
              <w:pStyle w:val="NoSpacing"/>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674523">
              <w:rPr>
                <w:color w:val="000000" w:themeColor="text1"/>
                <w:lang w:val="en-US"/>
              </w:rPr>
              <w:t>Research Associate in Computational Imaging and Sensing, School of Physics &amp; Astronomy</w:t>
            </w:r>
          </w:p>
        </w:tc>
      </w:tr>
      <w:tr w:rsidR="00674523" w:rsidRPr="00674523" w14:paraId="47DA4D58" w14:textId="77777777" w:rsidTr="000109C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74" w:type="dxa"/>
            <w:tcBorders>
              <w:bottom w:val="single" w:sz="4" w:space="0" w:color="auto"/>
            </w:tcBorders>
            <w:shd w:val="clear" w:color="auto" w:fill="auto"/>
          </w:tcPr>
          <w:p w14:paraId="550FADB2" w14:textId="77777777" w:rsidR="000109CB" w:rsidRPr="00674523" w:rsidRDefault="000109CB" w:rsidP="00674523">
            <w:pPr>
              <w:pStyle w:val="NoSpacing"/>
              <w:rPr>
                <w:color w:val="000000" w:themeColor="text1"/>
                <w:lang w:val="en-US"/>
              </w:rPr>
            </w:pPr>
            <w:r w:rsidRPr="00674523">
              <w:rPr>
                <w:color w:val="000000" w:themeColor="text1"/>
                <w:lang w:val="en-US"/>
              </w:rPr>
              <w:t>Email</w:t>
            </w:r>
          </w:p>
        </w:tc>
        <w:tc>
          <w:tcPr>
            <w:tcW w:w="5944" w:type="dxa"/>
            <w:tcBorders>
              <w:bottom w:val="single" w:sz="4" w:space="0" w:color="auto"/>
            </w:tcBorders>
            <w:shd w:val="clear" w:color="auto" w:fill="auto"/>
          </w:tcPr>
          <w:p w14:paraId="55876FD6" w14:textId="77777777" w:rsidR="000109CB" w:rsidRPr="00674523" w:rsidRDefault="000109CB" w:rsidP="00674523">
            <w:pPr>
              <w:pStyle w:val="NoSpacing"/>
              <w:cnfStyle w:val="000000100000" w:firstRow="0" w:lastRow="0" w:firstColumn="0" w:lastColumn="0" w:oddVBand="0" w:evenVBand="0" w:oddHBand="1" w:evenHBand="0" w:firstRowFirstColumn="0" w:firstRowLastColumn="0" w:lastRowFirstColumn="0" w:lastRowLastColumn="0"/>
              <w:rPr>
                <w:color w:val="000000" w:themeColor="text1"/>
                <w:lang w:val="en-US"/>
              </w:rPr>
            </w:pPr>
            <w:hyperlink r:id="rId11" w:history="1">
              <w:r w:rsidRPr="00674523">
                <w:rPr>
                  <w:rStyle w:val="Hyperlink"/>
                  <w:rFonts w:asciiTheme="minorBidi" w:hAnsiTheme="minorBidi"/>
                  <w:color w:val="000000" w:themeColor="text1"/>
                  <w:sz w:val="22"/>
                  <w:szCs w:val="22"/>
                </w:rPr>
                <w:t>Jack.Radford@glasgow.ac.uk</w:t>
              </w:r>
            </w:hyperlink>
            <w:r w:rsidRPr="00674523">
              <w:rPr>
                <w:color w:val="000000" w:themeColor="text1"/>
                <w:lang w:val="en-US"/>
              </w:rPr>
              <w:t xml:space="preserve"> </w:t>
            </w:r>
          </w:p>
        </w:tc>
      </w:tr>
    </w:tbl>
    <w:p w14:paraId="5BD40358" w14:textId="77777777" w:rsidR="000109CB" w:rsidRDefault="000109CB">
      <w:r>
        <w:br w:type="page"/>
      </w:r>
    </w:p>
    <w:p w14:paraId="4F460BE9" w14:textId="1BCE7E67" w:rsidR="000109CB" w:rsidRDefault="000109CB" w:rsidP="00674523">
      <w:pPr>
        <w:pStyle w:val="Heading2"/>
        <w:jc w:val="center"/>
      </w:pPr>
      <w:r>
        <w:lastRenderedPageBreak/>
        <w:t>Abstract</w:t>
      </w:r>
    </w:p>
    <w:p w14:paraId="3BC35CD0" w14:textId="4BE17B09" w:rsidR="000109CB" w:rsidRDefault="000109CB" w:rsidP="000109CB">
      <w:r>
        <w:t xml:space="preserve">The Quantum Arc and the Brain Health Arc held the </w:t>
      </w:r>
      <w:hyperlink r:id="rId12">
        <w:r w:rsidR="00674523" w:rsidRPr="00674523">
          <w:rPr>
            <w:rFonts w:ascii="Arial" w:eastAsia="Batang" w:hAnsi="Arial" w:cs="Arial"/>
            <w:color w:val="0000FF"/>
            <w:sz w:val="22"/>
            <w:szCs w:val="22"/>
            <w:u w:val="single"/>
            <w:lang w:eastAsia="ko-KR"/>
            <w14:ligatures w14:val="none"/>
          </w:rPr>
          <w:t>Quantum Healthcare Research Summit</w:t>
        </w:r>
      </w:hyperlink>
      <w:r w:rsidR="00674523">
        <w:rPr>
          <w:rFonts w:ascii="Arial" w:eastAsia="Batang" w:hAnsi="Arial" w:cs="Arial"/>
          <w:sz w:val="20"/>
          <w:lang w:val="en-US" w:eastAsia="ko-KR"/>
          <w14:ligatures w14:val="none"/>
        </w:rPr>
        <w:t xml:space="preserve"> </w:t>
      </w:r>
      <w:r>
        <w:t xml:space="preserve">in Stirling in November ‘24. SINAPSE </w:t>
      </w:r>
      <w:r w:rsidR="00FB62B8">
        <w:t>attended the summit to</w:t>
      </w:r>
      <w:r>
        <w:t xml:space="preserve"> assess the proximity of quantum technology to clinical implementation. </w:t>
      </w:r>
      <w:r w:rsidR="00FB62B8">
        <w:t xml:space="preserve">SINAPSE </w:t>
      </w:r>
      <w:r>
        <w:t xml:space="preserve">showcased the state-of-the art imaging facilities available across </w:t>
      </w:r>
      <w:r w:rsidR="00FB62B8">
        <w:t xml:space="preserve">our </w:t>
      </w:r>
      <w:r>
        <w:t>network and identified areas where quantum technologies could potentially improve performance further, enhance human imaging capability and advance clinical diagnoses and treatment monitoring.</w:t>
      </w:r>
    </w:p>
    <w:p w14:paraId="4F831E71" w14:textId="77777777" w:rsidR="000109CB" w:rsidRDefault="000109CB" w:rsidP="000109CB">
      <w:r>
        <w:t>The Summit underscored a shared ambition to translate quantum technologies into clinical pathways but also highlighted a gap in understanding between ground-breaking capabilities in quantum technologies and the goals of medical imaging research. To address that gap, SINAPSE submitted a proposal for an exchange programme that will bring researchers from both fields together and engage them in each other’s work, to influence the direction of development. The aim of is to foster new and nascent connections by funding exchange visits between quantum and healthcare imaging labs. This will facilitate knowledge sharing, spark collaborative discussion, guide development in productive clinical applications, and promote interdisciplinary partnerships that will strengthen further funding applications. Visits could be reciprocal, one-way, or involve more than two departments.</w:t>
      </w:r>
    </w:p>
    <w:p w14:paraId="7DBAD325" w14:textId="419026A8" w:rsidR="00484DA7" w:rsidRDefault="000109CB" w:rsidP="000109CB">
      <w:r>
        <w:t xml:space="preserve">The planned engagement will aid communication and mutual understanding of the possibilities afforded by quantum technology and priorities in imaging patients as part of their care and management. Early collaboration will encourage development that will address patient healthcare priorities efficiently. Enriching connections will form a foundation to complement another Quantum seed-funded initiative, which aims to address regulatory and commercial challenges in implementing quantum technologies in clinical use. SINAPSE will support participating researchers by identifying suitable onward funding opportunities, encouraging engagement with clinicians and, where appropriate, provide letters of support to strengthen applications. </w:t>
      </w:r>
    </w:p>
    <w:p w14:paraId="5227D7B7" w14:textId="77777777" w:rsidR="00484DA7" w:rsidRDefault="00484DA7">
      <w:r>
        <w:br w:type="page"/>
      </w:r>
    </w:p>
    <w:p w14:paraId="414314FC" w14:textId="77777777" w:rsidR="000109CB" w:rsidRDefault="000109CB" w:rsidP="00484DA7">
      <w:pPr>
        <w:pStyle w:val="Heading2"/>
      </w:pPr>
      <w:r>
        <w:lastRenderedPageBreak/>
        <w:t>Online Matching Webinar</w:t>
      </w:r>
    </w:p>
    <w:p w14:paraId="5C815E85" w14:textId="33D6D33B" w:rsidR="00484DA7" w:rsidRDefault="00484DA7" w:rsidP="00284282">
      <w:r w:rsidRPr="00484DA7">
        <w:t xml:space="preserve">To facilitate successful research visits and exchanges, we are hosting an online matching webinar on the </w:t>
      </w:r>
      <w:r w:rsidR="00FB62B8" w:rsidRPr="000A79EF">
        <w:rPr>
          <w:b/>
          <w:bCs/>
        </w:rPr>
        <w:t>1</w:t>
      </w:r>
      <w:r w:rsidR="00E82691">
        <w:rPr>
          <w:b/>
          <w:bCs/>
        </w:rPr>
        <w:t>4</w:t>
      </w:r>
      <w:r w:rsidRPr="000A79EF">
        <w:rPr>
          <w:b/>
          <w:bCs/>
        </w:rPr>
        <w:t>th of May</w:t>
      </w:r>
      <w:r w:rsidRPr="00484DA7">
        <w:t xml:space="preserve">. We </w:t>
      </w:r>
      <w:r w:rsidR="00547642">
        <w:t xml:space="preserve">are </w:t>
      </w:r>
      <w:r w:rsidRPr="00484DA7">
        <w:t>invit</w:t>
      </w:r>
      <w:r w:rsidR="00547642">
        <w:t>ing</w:t>
      </w:r>
      <w:r w:rsidRPr="00484DA7">
        <w:t xml:space="preserve"> researchers from both fields to participate in exchange visits, providing an opportunity to hear from each other and identify researchers they would like to visit. Researchers from both Quantum and Healthcare fields interested in attending the webinar can register </w:t>
      </w:r>
      <w:hyperlink r:id="rId13" w:history="1">
        <w:r w:rsidR="00A655EB" w:rsidRPr="00F30F73">
          <w:rPr>
            <w:rStyle w:val="Hyperlink"/>
            <w:color w:val="0000FF"/>
          </w:rPr>
          <w:t>here</w:t>
        </w:r>
      </w:hyperlink>
      <w:r w:rsidR="00A655EB">
        <w:t xml:space="preserve">. </w:t>
      </w:r>
      <w:r w:rsidRPr="00484DA7">
        <w:t xml:space="preserve">During registration, </w:t>
      </w:r>
      <w:r>
        <w:t>you</w:t>
      </w:r>
      <w:r w:rsidRPr="00484DA7">
        <w:t xml:space="preserve"> will be asked to upload a brief bio, which will allow us to compile a delegate booklet. This booklet will be circulated before the webinar, enabling researchers to familiarize themselves with other delegates' research focuses and helping to speed up the networking process. The bio template can be downloaded </w:t>
      </w:r>
      <w:hyperlink r:id="rId14" w:history="1">
        <w:r w:rsidR="00D96F35" w:rsidRPr="00D96F35">
          <w:rPr>
            <w:rStyle w:val="Hyperlink"/>
            <w:color w:val="0000FF"/>
          </w:rPr>
          <w:t>here</w:t>
        </w:r>
      </w:hyperlink>
      <w:r w:rsidR="00902C45">
        <w:t>.</w:t>
      </w:r>
    </w:p>
    <w:p w14:paraId="3B898EB8" w14:textId="30CDA6B6" w:rsidR="00641D83" w:rsidRDefault="00641D83" w:rsidP="00484DA7">
      <w:pPr>
        <w:pStyle w:val="Heading2"/>
      </w:pPr>
      <w:r>
        <w:t xml:space="preserve">Research visits </w:t>
      </w:r>
    </w:p>
    <w:p w14:paraId="37D07594" w14:textId="66F0E6B7" w:rsidR="00484DA7" w:rsidRPr="00484DA7" w:rsidRDefault="00484DA7" w:rsidP="00484DA7">
      <w:r w:rsidRPr="00484DA7">
        <w:t xml:space="preserve">We have designed a flexible research visit structure (max 5 days), allowing time for participants to become acquainted, </w:t>
      </w:r>
      <w:r>
        <w:t>discuss</w:t>
      </w:r>
      <w:r w:rsidRPr="00484DA7">
        <w:t xml:space="preserve"> </w:t>
      </w:r>
      <w:r>
        <w:t>research</w:t>
      </w:r>
      <w:r w:rsidRPr="00484DA7">
        <w:t xml:space="preserve"> challenges, identify potential synergies, and discuss proposals for future work and funding applications. Participating researchers can choose the length of their visit based on their schedules and other work commitments.</w:t>
      </w:r>
    </w:p>
    <w:p w14:paraId="533B7A4B" w14:textId="77777777" w:rsidR="00484DA7" w:rsidRPr="00484DA7" w:rsidRDefault="00484DA7" w:rsidP="00484DA7">
      <w:pPr>
        <w:rPr>
          <w:rStyle w:val="Strong"/>
        </w:rPr>
      </w:pPr>
      <w:r w:rsidRPr="00484DA7">
        <w:rPr>
          <w:rStyle w:val="Strong"/>
        </w:rPr>
        <w:t>Research visits may include some or all of the following activities:</w:t>
      </w:r>
    </w:p>
    <w:p w14:paraId="2BCF6CAF" w14:textId="77777777" w:rsidR="00484DA7" w:rsidRPr="00484DA7" w:rsidRDefault="00484DA7" w:rsidP="00484DA7">
      <w:pPr>
        <w:pStyle w:val="ListParagraph"/>
        <w:numPr>
          <w:ilvl w:val="0"/>
          <w:numId w:val="4"/>
        </w:numPr>
      </w:pPr>
      <w:r w:rsidRPr="00484DA7">
        <w:t>Showcasing host department facilities and discussing research work.</w:t>
      </w:r>
    </w:p>
    <w:p w14:paraId="4F893C75" w14:textId="77777777" w:rsidR="00484DA7" w:rsidRPr="00484DA7" w:rsidRDefault="00484DA7" w:rsidP="00484DA7">
      <w:pPr>
        <w:pStyle w:val="ListParagraph"/>
        <w:numPr>
          <w:ilvl w:val="0"/>
          <w:numId w:val="4"/>
        </w:numPr>
      </w:pPr>
      <w:r w:rsidRPr="00484DA7">
        <w:t>Introducing visitors to staff, colleagues, and students, and involving them in lab meetings, seminars, and similar activities.</w:t>
      </w:r>
    </w:p>
    <w:p w14:paraId="5EE127E6" w14:textId="77777777" w:rsidR="00484DA7" w:rsidRPr="00484DA7" w:rsidRDefault="00484DA7" w:rsidP="00484DA7">
      <w:pPr>
        <w:pStyle w:val="ListParagraph"/>
        <w:numPr>
          <w:ilvl w:val="0"/>
          <w:numId w:val="4"/>
        </w:numPr>
      </w:pPr>
      <w:r w:rsidRPr="00484DA7">
        <w:t>Observing experimental or clinical imaging sessions.</w:t>
      </w:r>
    </w:p>
    <w:p w14:paraId="7EC482C2" w14:textId="77777777" w:rsidR="00484DA7" w:rsidRPr="00484DA7" w:rsidRDefault="00484DA7" w:rsidP="00484DA7">
      <w:pPr>
        <w:pStyle w:val="ListParagraph"/>
        <w:numPr>
          <w:ilvl w:val="0"/>
          <w:numId w:val="4"/>
        </w:numPr>
      </w:pPr>
      <w:r w:rsidRPr="00484DA7">
        <w:t>Identifying common research goals and brainstorming collaborative approaches.</w:t>
      </w:r>
    </w:p>
    <w:p w14:paraId="53D9555F" w14:textId="77777777" w:rsidR="00484DA7" w:rsidRPr="00484DA7" w:rsidRDefault="00484DA7" w:rsidP="00484DA7">
      <w:pPr>
        <w:pStyle w:val="ListParagraph"/>
        <w:numPr>
          <w:ilvl w:val="0"/>
          <w:numId w:val="4"/>
        </w:numPr>
      </w:pPr>
      <w:r w:rsidRPr="00484DA7">
        <w:t>Exploring measurable outcomes, healthcare priorities, and the potential for introducing new technologies into the patient pathway.</w:t>
      </w:r>
    </w:p>
    <w:p w14:paraId="53ACF1F4" w14:textId="77777777" w:rsidR="00484DA7" w:rsidRPr="00484DA7" w:rsidRDefault="00484DA7" w:rsidP="00484DA7">
      <w:pPr>
        <w:pStyle w:val="ListParagraph"/>
        <w:numPr>
          <w:ilvl w:val="0"/>
          <w:numId w:val="4"/>
        </w:numPr>
      </w:pPr>
      <w:r w:rsidRPr="00484DA7">
        <w:t>Testing equipment or technology using SINAPSE facilities, such as Thiel-embalmed cadavers at Tayside’s Tay MedTech Connect.</w:t>
      </w:r>
    </w:p>
    <w:p w14:paraId="2CCB12AE" w14:textId="77777777" w:rsidR="00484DA7" w:rsidRPr="00484DA7" w:rsidRDefault="00484DA7" w:rsidP="00484DA7">
      <w:pPr>
        <w:pStyle w:val="ListParagraph"/>
        <w:numPr>
          <w:ilvl w:val="0"/>
          <w:numId w:val="4"/>
        </w:numPr>
      </w:pPr>
      <w:r w:rsidRPr="00484DA7">
        <w:t>Exploring research co-production and Patient Public Involvement &amp; Engagement (PPIE) to facilitate early-stage research translation.</w:t>
      </w:r>
    </w:p>
    <w:p w14:paraId="05986C6A" w14:textId="77777777" w:rsidR="00484DA7" w:rsidRPr="00484DA7" w:rsidRDefault="00484DA7" w:rsidP="00484DA7">
      <w:pPr>
        <w:pStyle w:val="ListParagraph"/>
        <w:numPr>
          <w:ilvl w:val="0"/>
          <w:numId w:val="4"/>
        </w:numPr>
      </w:pPr>
      <w:r w:rsidRPr="00484DA7">
        <w:t>Delivering a joint talk (host and visiting researcher) on how quantum/healthcare research could advance each other’s fields.</w:t>
      </w:r>
    </w:p>
    <w:p w14:paraId="486ADC59" w14:textId="77777777" w:rsidR="00484DA7" w:rsidRDefault="00484DA7" w:rsidP="00484DA7">
      <w:pPr>
        <w:pStyle w:val="ListParagraph"/>
        <w:numPr>
          <w:ilvl w:val="0"/>
          <w:numId w:val="4"/>
        </w:numPr>
      </w:pPr>
      <w:r w:rsidRPr="00484DA7">
        <w:t>Writing a visit report outlining goals achieved, new insights, and plans for future collaboration.</w:t>
      </w:r>
    </w:p>
    <w:p w14:paraId="3312E29C" w14:textId="30D3CCF7" w:rsidR="00484DA7" w:rsidRPr="00484DA7" w:rsidRDefault="00484DA7" w:rsidP="00484DA7">
      <w:pPr>
        <w:pStyle w:val="ListParagraph"/>
        <w:numPr>
          <w:ilvl w:val="0"/>
          <w:numId w:val="4"/>
        </w:numPr>
      </w:pPr>
      <w:r w:rsidRPr="00484DA7">
        <w:t>Attending a follow-up workshop on translation organized by Helen Donald-Simpson and Prof. Mike Macdonald, related to a complementary yet distinct Quantum seed fund initiative.</w:t>
      </w:r>
    </w:p>
    <w:p w14:paraId="148AC69A" w14:textId="38D829C5" w:rsidR="00EB0B9B" w:rsidRPr="00484DA7" w:rsidRDefault="00484DA7" w:rsidP="00484DA7">
      <w:pPr>
        <w:pStyle w:val="Heading2"/>
      </w:pPr>
      <w:r w:rsidRPr="00484DA7">
        <w:t>Conditions</w:t>
      </w:r>
    </w:p>
    <w:p w14:paraId="56FE07AA" w14:textId="77777777" w:rsidR="00484DA7" w:rsidRDefault="00484DA7" w:rsidP="00484DA7">
      <w:pPr>
        <w:pStyle w:val="ListParagraph"/>
        <w:numPr>
          <w:ilvl w:val="0"/>
          <w:numId w:val="6"/>
        </w:numPr>
      </w:pPr>
      <w:r>
        <w:t>The research visits will take place within Scotland only.</w:t>
      </w:r>
    </w:p>
    <w:p w14:paraId="3C730910" w14:textId="77777777" w:rsidR="00484DA7" w:rsidRDefault="00484DA7" w:rsidP="00484DA7">
      <w:pPr>
        <w:pStyle w:val="ListParagraph"/>
        <w:numPr>
          <w:ilvl w:val="0"/>
          <w:numId w:val="6"/>
        </w:numPr>
      </w:pPr>
      <w:r>
        <w:lastRenderedPageBreak/>
        <w:t>All research visits must be completed by September 2025.</w:t>
      </w:r>
    </w:p>
    <w:p w14:paraId="4B8868CB" w14:textId="77777777" w:rsidR="00484DA7" w:rsidRDefault="00484DA7" w:rsidP="00484DA7">
      <w:pPr>
        <w:pStyle w:val="ListParagraph"/>
        <w:numPr>
          <w:ilvl w:val="0"/>
          <w:numId w:val="6"/>
        </w:numPr>
      </w:pPr>
      <w:r>
        <w:t>Priority will be given to ECRs due to limited funding.</w:t>
      </w:r>
    </w:p>
    <w:p w14:paraId="7ECD5E40" w14:textId="77777777" w:rsidR="00484DA7" w:rsidRDefault="00484DA7" w:rsidP="00484DA7">
      <w:pPr>
        <w:pStyle w:val="ListParagraph"/>
        <w:numPr>
          <w:ilvl w:val="0"/>
          <w:numId w:val="6"/>
        </w:numPr>
      </w:pPr>
      <w:r>
        <w:t>Visiting researchers are responsible for liaising with hosting researchers and agreeing on the content and activities of their exchange visits.</w:t>
      </w:r>
    </w:p>
    <w:p w14:paraId="1B64E845" w14:textId="77777777" w:rsidR="00484DA7" w:rsidRDefault="00484DA7" w:rsidP="00484DA7">
      <w:pPr>
        <w:pStyle w:val="ListParagraph"/>
        <w:numPr>
          <w:ilvl w:val="0"/>
          <w:numId w:val="6"/>
        </w:numPr>
      </w:pPr>
      <w:r>
        <w:t>Hosting researchers are responsible for welcoming visiting researchers and including them in pre-arranged activities.</w:t>
      </w:r>
    </w:p>
    <w:p w14:paraId="7B1366E9" w14:textId="19167051" w:rsidR="00484DA7" w:rsidRDefault="00484DA7" w:rsidP="00484DA7">
      <w:pPr>
        <w:pStyle w:val="ListParagraph"/>
        <w:numPr>
          <w:ilvl w:val="0"/>
          <w:numId w:val="6"/>
        </w:numPr>
      </w:pPr>
      <w:r>
        <w:t>A short report will be submitted to Dr. Pappa within two weeks of completing the research visit and again at 12 months as a follow-up to track the progress of any collaboration resulting from the visit and for reporting purposes.</w:t>
      </w:r>
    </w:p>
    <w:p w14:paraId="253F6100" w14:textId="77777777" w:rsidR="00484DA7" w:rsidRDefault="00484DA7" w:rsidP="00484DA7">
      <w:pPr>
        <w:pStyle w:val="ListParagraph"/>
        <w:numPr>
          <w:ilvl w:val="0"/>
          <w:numId w:val="6"/>
        </w:numPr>
      </w:pPr>
      <w:r>
        <w:t>Travel and subsistence expenses will be submitted to Dr. Pappa for reimbursement.</w:t>
      </w:r>
    </w:p>
    <w:p w14:paraId="3BB0D2D8" w14:textId="77777777" w:rsidR="00484DA7" w:rsidRDefault="00484DA7" w:rsidP="00484DA7">
      <w:pPr>
        <w:pStyle w:val="ListParagraph"/>
        <w:numPr>
          <w:ilvl w:val="0"/>
          <w:numId w:val="6"/>
        </w:numPr>
      </w:pPr>
      <w:r>
        <w:t>The funding allows a maximum of: 5 nights’ accommodation at a £100 daily rate.</w:t>
      </w:r>
    </w:p>
    <w:p w14:paraId="46535247" w14:textId="3013D4DF" w:rsidR="00484DA7" w:rsidRDefault="00484DA7" w:rsidP="00484DA7">
      <w:pPr>
        <w:pStyle w:val="ListParagraph"/>
        <w:numPr>
          <w:ilvl w:val="0"/>
          <w:numId w:val="6"/>
        </w:numPr>
      </w:pPr>
      <w:r>
        <w:t>The funding allows a maximum of: £70 for traveling expenses</w:t>
      </w:r>
      <w:r w:rsidR="003474CF">
        <w:t xml:space="preserve"> on average</w:t>
      </w:r>
      <w:r>
        <w:t>.</w:t>
      </w:r>
      <w:r w:rsidR="00703A26" w:rsidRPr="00BD4DD8">
        <w:rPr>
          <w:b/>
          <w:bCs/>
        </w:rPr>
        <w:t>*</w:t>
      </w:r>
    </w:p>
    <w:p w14:paraId="4E11F839" w14:textId="1CBE7F22" w:rsidR="00703A26" w:rsidRDefault="00484DA7" w:rsidP="00703A26">
      <w:pPr>
        <w:pStyle w:val="ListParagraph"/>
        <w:numPr>
          <w:ilvl w:val="0"/>
          <w:numId w:val="6"/>
        </w:numPr>
      </w:pPr>
      <w:r>
        <w:t>The funding allows a maximum of: £50 for daily subsistence.</w:t>
      </w:r>
    </w:p>
    <w:p w14:paraId="0CE31821" w14:textId="056B57F0" w:rsidR="00703A26" w:rsidRPr="002E7027" w:rsidRDefault="00F22D77" w:rsidP="00F22D77">
      <w:pPr>
        <w:rPr>
          <w:b/>
          <w:bCs/>
          <w:i/>
          <w:iCs/>
        </w:rPr>
      </w:pPr>
      <w:r>
        <w:rPr>
          <w:b/>
          <w:bCs/>
          <w:i/>
          <w:iCs/>
        </w:rPr>
        <w:t>*</w:t>
      </w:r>
      <w:r w:rsidRPr="00F22D77">
        <w:rPr>
          <w:b/>
          <w:bCs/>
          <w:i/>
          <w:iCs/>
        </w:rPr>
        <w:t>This is based on the average travel expenses across Scotland. We understand that some individuals</w:t>
      </w:r>
      <w:r w:rsidR="003474CF">
        <w:rPr>
          <w:b/>
          <w:bCs/>
          <w:i/>
          <w:iCs/>
        </w:rPr>
        <w:t xml:space="preserve"> traveling expenses</w:t>
      </w:r>
      <w:r w:rsidRPr="00F22D77">
        <w:rPr>
          <w:b/>
          <w:bCs/>
          <w:i/>
          <w:iCs/>
        </w:rPr>
        <w:t xml:space="preserve"> may incur costs below £70, while others may exceed £70.</w:t>
      </w:r>
      <w:r w:rsidR="00E75D01">
        <w:rPr>
          <w:b/>
          <w:bCs/>
          <w:i/>
          <w:iCs/>
        </w:rPr>
        <w:t xml:space="preserve"> </w:t>
      </w:r>
      <w:r w:rsidR="00B818BA" w:rsidRPr="00B818BA">
        <w:rPr>
          <w:b/>
          <w:bCs/>
          <w:i/>
          <w:iCs/>
        </w:rPr>
        <w:t>Participants are expected to travel at economy rate.</w:t>
      </w:r>
    </w:p>
    <w:sectPr w:rsidR="00703A26" w:rsidRPr="002E7027">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21F5" w14:textId="77777777" w:rsidR="00DC44EE" w:rsidRDefault="00DC44EE" w:rsidP="000109CB">
      <w:pPr>
        <w:spacing w:after="0" w:line="240" w:lineRule="auto"/>
      </w:pPr>
      <w:r>
        <w:separator/>
      </w:r>
    </w:p>
  </w:endnote>
  <w:endnote w:type="continuationSeparator" w:id="0">
    <w:p w14:paraId="0AD5A739" w14:textId="77777777" w:rsidR="00DC44EE" w:rsidRDefault="00DC44EE" w:rsidP="0001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66B2" w14:textId="77777777" w:rsidR="00DC44EE" w:rsidRDefault="00DC44EE" w:rsidP="000109CB">
      <w:pPr>
        <w:spacing w:after="0" w:line="240" w:lineRule="auto"/>
      </w:pPr>
      <w:r>
        <w:separator/>
      </w:r>
    </w:p>
  </w:footnote>
  <w:footnote w:type="continuationSeparator" w:id="0">
    <w:p w14:paraId="3358AE5C" w14:textId="77777777" w:rsidR="00DC44EE" w:rsidRDefault="00DC44EE" w:rsidP="00010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5FF7" w14:textId="5A880441" w:rsidR="000109CB" w:rsidRDefault="000109CB">
    <w:pPr>
      <w:pStyle w:val="Header"/>
    </w:pPr>
    <w:r>
      <w:rPr>
        <w:b/>
        <w:bCs/>
        <w:noProof/>
        <w:sz w:val="18"/>
        <w:szCs w:val="18"/>
      </w:rPr>
      <w:drawing>
        <wp:anchor distT="0" distB="0" distL="114300" distR="114300" simplePos="0" relativeHeight="251659264" behindDoc="0" locked="0" layoutInCell="1" allowOverlap="1" wp14:anchorId="61202C71" wp14:editId="4760EDBA">
          <wp:simplePos x="0" y="0"/>
          <wp:positionH relativeFrom="margin">
            <wp:posOffset>3397358</wp:posOffset>
          </wp:positionH>
          <wp:positionV relativeFrom="paragraph">
            <wp:posOffset>-233919</wp:posOffset>
          </wp:positionV>
          <wp:extent cx="1485900" cy="600710"/>
          <wp:effectExtent l="0" t="0" r="0" b="8890"/>
          <wp:wrapNone/>
          <wp:docPr id="1654065784" name="Picture 1" descr="A logo for a healt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65784" name="Picture 1" descr="A logo for a health compan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383E2730" wp14:editId="4938126D">
          <wp:simplePos x="0" y="0"/>
          <wp:positionH relativeFrom="margin">
            <wp:posOffset>5167750</wp:posOffset>
          </wp:positionH>
          <wp:positionV relativeFrom="paragraph">
            <wp:posOffset>-111281</wp:posOffset>
          </wp:positionV>
          <wp:extent cx="1223010" cy="381000"/>
          <wp:effectExtent l="0" t="0" r="0" b="0"/>
          <wp:wrapTight wrapText="bothSides">
            <wp:wrapPolygon edited="0">
              <wp:start x="0" y="0"/>
              <wp:lineTo x="0" y="20520"/>
              <wp:lineTo x="17159" y="20520"/>
              <wp:lineTo x="18841" y="20520"/>
              <wp:lineTo x="21196" y="18360"/>
              <wp:lineTo x="21196" y="1080"/>
              <wp:lineTo x="18841" y="0"/>
              <wp:lineTo x="0" y="0"/>
            </wp:wrapPolygon>
          </wp:wrapTight>
          <wp:docPr id="1700835782" name="Picture 1700835782" descr="The University of Glas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835782" name="Picture 1700835782" descr="The University of Glasgow"/>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2301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10EC2A8" wp14:editId="2494F6EE">
          <wp:simplePos x="0" y="0"/>
          <wp:positionH relativeFrom="column">
            <wp:posOffset>1760220</wp:posOffset>
          </wp:positionH>
          <wp:positionV relativeFrom="paragraph">
            <wp:posOffset>-220980</wp:posOffset>
          </wp:positionV>
          <wp:extent cx="1419225" cy="617855"/>
          <wp:effectExtent l="0" t="0" r="9525" b="0"/>
          <wp:wrapTopAndBottom/>
          <wp:docPr id="81039682"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9682" name="Picture 1" descr="A logo with a black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617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i/>
        <w:iCs/>
        <w:noProof/>
      </w:rPr>
      <w:drawing>
        <wp:anchor distT="0" distB="0" distL="114300" distR="114300" simplePos="0" relativeHeight="251662336" behindDoc="1" locked="0" layoutInCell="1" allowOverlap="1" wp14:anchorId="1F157D59" wp14:editId="72E3B49E">
          <wp:simplePos x="0" y="0"/>
          <wp:positionH relativeFrom="column">
            <wp:posOffset>-785004</wp:posOffset>
          </wp:positionH>
          <wp:positionV relativeFrom="paragraph">
            <wp:posOffset>-134883</wp:posOffset>
          </wp:positionV>
          <wp:extent cx="2277745" cy="417195"/>
          <wp:effectExtent l="0" t="0" r="8255" b="1905"/>
          <wp:wrapTight wrapText="bothSides">
            <wp:wrapPolygon edited="0">
              <wp:start x="0" y="0"/>
              <wp:lineTo x="0" y="20712"/>
              <wp:lineTo x="21498" y="20712"/>
              <wp:lineTo x="21498" y="0"/>
              <wp:lineTo x="0" y="0"/>
            </wp:wrapPolygon>
          </wp:wrapTight>
          <wp:docPr id="1902417460" name="Picture 3"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17460" name="Picture 3" descr="A black letter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774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53"/>
    <w:multiLevelType w:val="hybridMultilevel"/>
    <w:tmpl w:val="266A2E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D75AF9"/>
    <w:multiLevelType w:val="hybridMultilevel"/>
    <w:tmpl w:val="BCB621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61E0486"/>
    <w:multiLevelType w:val="hybridMultilevel"/>
    <w:tmpl w:val="6CB257FC"/>
    <w:lvl w:ilvl="0" w:tplc="408CC20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9617F"/>
    <w:multiLevelType w:val="hybridMultilevel"/>
    <w:tmpl w:val="17D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D5ACA"/>
    <w:multiLevelType w:val="hybridMultilevel"/>
    <w:tmpl w:val="39EA44C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686A70"/>
    <w:multiLevelType w:val="hybridMultilevel"/>
    <w:tmpl w:val="2A8CC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4740AF"/>
    <w:multiLevelType w:val="hybridMultilevel"/>
    <w:tmpl w:val="7ABACA56"/>
    <w:lvl w:ilvl="0" w:tplc="A92EDC4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926443"/>
    <w:multiLevelType w:val="hybridMultilevel"/>
    <w:tmpl w:val="7B3A06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1650094">
    <w:abstractNumId w:val="3"/>
  </w:num>
  <w:num w:numId="2" w16cid:durableId="1155073111">
    <w:abstractNumId w:val="4"/>
  </w:num>
  <w:num w:numId="3" w16cid:durableId="477495434">
    <w:abstractNumId w:val="5"/>
  </w:num>
  <w:num w:numId="4" w16cid:durableId="1009799092">
    <w:abstractNumId w:val="7"/>
  </w:num>
  <w:num w:numId="5" w16cid:durableId="1781683241">
    <w:abstractNumId w:val="0"/>
  </w:num>
  <w:num w:numId="6" w16cid:durableId="1013843313">
    <w:abstractNumId w:val="1"/>
  </w:num>
  <w:num w:numId="7" w16cid:durableId="1550798998">
    <w:abstractNumId w:val="6"/>
  </w:num>
  <w:num w:numId="8" w16cid:durableId="196084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CB"/>
    <w:rsid w:val="000109CB"/>
    <w:rsid w:val="00030BDE"/>
    <w:rsid w:val="00091BE4"/>
    <w:rsid w:val="000A79EF"/>
    <w:rsid w:val="000B259B"/>
    <w:rsid w:val="000C0C0E"/>
    <w:rsid w:val="000F3DAE"/>
    <w:rsid w:val="00111374"/>
    <w:rsid w:val="001F13C5"/>
    <w:rsid w:val="00250328"/>
    <w:rsid w:val="00282B9C"/>
    <w:rsid w:val="00284282"/>
    <w:rsid w:val="002C6117"/>
    <w:rsid w:val="002D417C"/>
    <w:rsid w:val="002E7027"/>
    <w:rsid w:val="00310D1B"/>
    <w:rsid w:val="003474CF"/>
    <w:rsid w:val="003F3D58"/>
    <w:rsid w:val="00483C4C"/>
    <w:rsid w:val="00484DA7"/>
    <w:rsid w:val="00547642"/>
    <w:rsid w:val="00641D83"/>
    <w:rsid w:val="00674523"/>
    <w:rsid w:val="00703A26"/>
    <w:rsid w:val="00756605"/>
    <w:rsid w:val="007979CB"/>
    <w:rsid w:val="0086006E"/>
    <w:rsid w:val="0089359B"/>
    <w:rsid w:val="00902C45"/>
    <w:rsid w:val="009B0A13"/>
    <w:rsid w:val="009F4FFB"/>
    <w:rsid w:val="00A1638F"/>
    <w:rsid w:val="00A655EB"/>
    <w:rsid w:val="00AF2A21"/>
    <w:rsid w:val="00B818BA"/>
    <w:rsid w:val="00BA640A"/>
    <w:rsid w:val="00BD4DD8"/>
    <w:rsid w:val="00C70C8B"/>
    <w:rsid w:val="00D611DC"/>
    <w:rsid w:val="00D93D54"/>
    <w:rsid w:val="00D96F35"/>
    <w:rsid w:val="00DC44EE"/>
    <w:rsid w:val="00DD1000"/>
    <w:rsid w:val="00E00017"/>
    <w:rsid w:val="00E75D01"/>
    <w:rsid w:val="00E82691"/>
    <w:rsid w:val="00EB0B9B"/>
    <w:rsid w:val="00F22D77"/>
    <w:rsid w:val="00F261CA"/>
    <w:rsid w:val="00F30F73"/>
    <w:rsid w:val="00FB62B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7CDEE"/>
  <w15:chartTrackingRefBased/>
  <w15:docId w15:val="{E536E716-DE2D-4F5D-A5A4-7AE223AD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9CB"/>
    <w:pPr>
      <w:keepNext/>
      <w:keepLines/>
      <w:spacing w:before="360" w:after="80"/>
      <w:outlineLvl w:val="0"/>
    </w:pPr>
    <w:rPr>
      <w:rFonts w:asciiTheme="majorHAnsi" w:eastAsiaTheme="majorEastAsia" w:hAnsiTheme="majorHAnsi" w:cstheme="majorBidi"/>
      <w:color w:val="0F4761" w:themeColor="accent1" w:themeShade="BF"/>
      <w:sz w:val="32"/>
      <w:szCs w:val="40"/>
    </w:rPr>
  </w:style>
  <w:style w:type="paragraph" w:styleId="Heading2">
    <w:name w:val="heading 2"/>
    <w:basedOn w:val="Normal"/>
    <w:next w:val="Normal"/>
    <w:link w:val="Heading2Char"/>
    <w:uiPriority w:val="9"/>
    <w:unhideWhenUsed/>
    <w:qFormat/>
    <w:rsid w:val="00010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CB"/>
    <w:rPr>
      <w:rFonts w:asciiTheme="majorHAnsi" w:eastAsiaTheme="majorEastAsia" w:hAnsiTheme="majorHAnsi" w:cstheme="majorBidi"/>
      <w:color w:val="0F4761" w:themeColor="accent1" w:themeShade="BF"/>
      <w:sz w:val="32"/>
      <w:szCs w:val="40"/>
    </w:rPr>
  </w:style>
  <w:style w:type="character" w:customStyle="1" w:styleId="Heading2Char">
    <w:name w:val="Heading 2 Char"/>
    <w:basedOn w:val="DefaultParagraphFont"/>
    <w:link w:val="Heading2"/>
    <w:uiPriority w:val="9"/>
    <w:rsid w:val="00010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CB"/>
    <w:rPr>
      <w:rFonts w:eastAsiaTheme="majorEastAsia" w:cstheme="majorBidi"/>
      <w:color w:val="272727" w:themeColor="text1" w:themeTint="D8"/>
    </w:rPr>
  </w:style>
  <w:style w:type="paragraph" w:styleId="Title">
    <w:name w:val="Title"/>
    <w:basedOn w:val="Normal"/>
    <w:next w:val="Normal"/>
    <w:link w:val="TitleChar"/>
    <w:uiPriority w:val="10"/>
    <w:qFormat/>
    <w:rsid w:val="00010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C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109CB"/>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0109CB"/>
    <w:pPr>
      <w:spacing w:before="160"/>
      <w:jc w:val="center"/>
    </w:pPr>
    <w:rPr>
      <w:i/>
      <w:iCs/>
      <w:color w:val="404040" w:themeColor="text1" w:themeTint="BF"/>
    </w:rPr>
  </w:style>
  <w:style w:type="character" w:customStyle="1" w:styleId="QuoteChar">
    <w:name w:val="Quote Char"/>
    <w:basedOn w:val="DefaultParagraphFont"/>
    <w:link w:val="Quote"/>
    <w:uiPriority w:val="29"/>
    <w:rsid w:val="000109CB"/>
    <w:rPr>
      <w:i/>
      <w:iCs/>
      <w:color w:val="404040" w:themeColor="text1" w:themeTint="BF"/>
    </w:rPr>
  </w:style>
  <w:style w:type="paragraph" w:styleId="ListParagraph">
    <w:name w:val="List Paragraph"/>
    <w:basedOn w:val="Normal"/>
    <w:uiPriority w:val="34"/>
    <w:qFormat/>
    <w:rsid w:val="000109CB"/>
    <w:pPr>
      <w:ind w:left="720"/>
      <w:contextualSpacing/>
    </w:pPr>
  </w:style>
  <w:style w:type="character" w:styleId="IntenseEmphasis">
    <w:name w:val="Intense Emphasis"/>
    <w:basedOn w:val="DefaultParagraphFont"/>
    <w:uiPriority w:val="21"/>
    <w:qFormat/>
    <w:rsid w:val="000109CB"/>
    <w:rPr>
      <w:i/>
      <w:iCs/>
      <w:color w:val="0F4761" w:themeColor="accent1" w:themeShade="BF"/>
    </w:rPr>
  </w:style>
  <w:style w:type="paragraph" w:styleId="IntenseQuote">
    <w:name w:val="Intense Quote"/>
    <w:basedOn w:val="Normal"/>
    <w:next w:val="Normal"/>
    <w:link w:val="IntenseQuoteChar"/>
    <w:uiPriority w:val="30"/>
    <w:qFormat/>
    <w:rsid w:val="00010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9CB"/>
    <w:rPr>
      <w:i/>
      <w:iCs/>
      <w:color w:val="0F4761" w:themeColor="accent1" w:themeShade="BF"/>
    </w:rPr>
  </w:style>
  <w:style w:type="character" w:styleId="IntenseReference">
    <w:name w:val="Intense Reference"/>
    <w:basedOn w:val="DefaultParagraphFont"/>
    <w:uiPriority w:val="32"/>
    <w:qFormat/>
    <w:rsid w:val="000109CB"/>
    <w:rPr>
      <w:b/>
      <w:bCs/>
      <w:smallCaps/>
      <w:color w:val="0F4761" w:themeColor="accent1" w:themeShade="BF"/>
      <w:spacing w:val="5"/>
    </w:rPr>
  </w:style>
  <w:style w:type="paragraph" w:styleId="Header">
    <w:name w:val="header"/>
    <w:basedOn w:val="Normal"/>
    <w:link w:val="HeaderChar"/>
    <w:uiPriority w:val="99"/>
    <w:unhideWhenUsed/>
    <w:rsid w:val="00010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9CB"/>
  </w:style>
  <w:style w:type="paragraph" w:styleId="Footer">
    <w:name w:val="footer"/>
    <w:basedOn w:val="Normal"/>
    <w:link w:val="FooterChar"/>
    <w:uiPriority w:val="99"/>
    <w:unhideWhenUsed/>
    <w:rsid w:val="00010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9CB"/>
  </w:style>
  <w:style w:type="character" w:styleId="Strong">
    <w:name w:val="Strong"/>
    <w:basedOn w:val="DefaultParagraphFont"/>
    <w:uiPriority w:val="22"/>
    <w:qFormat/>
    <w:rsid w:val="000109CB"/>
    <w:rPr>
      <w:b/>
      <w:bCs/>
    </w:rPr>
  </w:style>
  <w:style w:type="table" w:styleId="TableGrid">
    <w:name w:val="Table Grid"/>
    <w:basedOn w:val="TableNormal"/>
    <w:uiPriority w:val="39"/>
    <w:rsid w:val="00010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9CB"/>
    <w:rPr>
      <w:color w:val="467886" w:themeColor="hyperlink"/>
      <w:u w:val="single"/>
    </w:rPr>
  </w:style>
  <w:style w:type="character" w:styleId="UnresolvedMention">
    <w:name w:val="Unresolved Mention"/>
    <w:basedOn w:val="DefaultParagraphFont"/>
    <w:uiPriority w:val="99"/>
    <w:semiHidden/>
    <w:unhideWhenUsed/>
    <w:rsid w:val="000109CB"/>
    <w:rPr>
      <w:color w:val="605E5C"/>
      <w:shd w:val="clear" w:color="auto" w:fill="E1DFDD"/>
    </w:rPr>
  </w:style>
  <w:style w:type="table" w:styleId="GridTable5Dark-Accent1">
    <w:name w:val="Grid Table 5 Dark Accent 1"/>
    <w:basedOn w:val="TableNormal"/>
    <w:uiPriority w:val="50"/>
    <w:rsid w:val="000109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NoSpacing">
    <w:name w:val="No Spacing"/>
    <w:uiPriority w:val="1"/>
    <w:qFormat/>
    <w:rsid w:val="00674523"/>
    <w:pPr>
      <w:spacing w:after="0" w:line="240" w:lineRule="auto"/>
    </w:pPr>
  </w:style>
  <w:style w:type="character" w:styleId="FollowedHyperlink">
    <w:name w:val="FollowedHyperlink"/>
    <w:basedOn w:val="DefaultParagraphFont"/>
    <w:uiPriority w:val="99"/>
    <w:semiHidden/>
    <w:unhideWhenUsed/>
    <w:rsid w:val="00D611D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pappa@glasgow.ac.uk" TargetMode="External"/><Relationship Id="rId13" Type="http://schemas.openxmlformats.org/officeDocument/2006/relationships/hyperlink" Target="https://uofg.qualtrics.com/jfe/form/SV_bCvsf3KMx9R2Oua" TargetMode="External"/><Relationship Id="rId3" Type="http://schemas.openxmlformats.org/officeDocument/2006/relationships/settings" Target="settings.xml"/><Relationship Id="rId7" Type="http://schemas.openxmlformats.org/officeDocument/2006/relationships/hyperlink" Target="https://www.sinapse.ac.uk/" TargetMode="External"/><Relationship Id="rId12" Type="http://schemas.openxmlformats.org/officeDocument/2006/relationships/hyperlink" Target="https://www.brainhealtharc.com/news/quantum-healthcare-summit-20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ck.Radford@glasgow.ac.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y.z.z.z.h.zhang@dundee.ac.uk" TargetMode="External"/><Relationship Id="rId4" Type="http://schemas.openxmlformats.org/officeDocument/2006/relationships/webSettings" Target="webSettings.xml"/><Relationship Id="rId9" Type="http://schemas.openxmlformats.org/officeDocument/2006/relationships/hyperlink" Target="mailto:jennifer.macfarlane@nhs.scot" TargetMode="External"/><Relationship Id="rId14" Type="http://schemas.openxmlformats.org/officeDocument/2006/relationships/hyperlink" Target="https://www.sinapse.ac.uk/wp-content/uploads/2025/04/ResearchBioForm.docx"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www.gla.ac.uk/media/media_32250_en.gif" TargetMode="External"/><Relationship Id="rId2" Type="http://schemas.openxmlformats.org/officeDocument/2006/relationships/image" Target="media/image2.gif"/><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1121</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Pappa</dc:creator>
  <cp:keywords/>
  <dc:description/>
  <cp:lastModifiedBy>Katerina Pappa</cp:lastModifiedBy>
  <cp:revision>26</cp:revision>
  <dcterms:created xsi:type="dcterms:W3CDTF">2025-04-01T13:24:00Z</dcterms:created>
  <dcterms:modified xsi:type="dcterms:W3CDTF">2025-04-08T08:52:00Z</dcterms:modified>
</cp:coreProperties>
</file>